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2DC705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A08C700">
            <w:pPr>
              <w:pStyle w:val="49"/>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YLBZ</w:t>
            </w:r>
            <w:r>
              <w:fldChar w:fldCharType="end"/>
            </w:r>
            <w:bookmarkEnd w:id="1"/>
          </w:p>
        </w:tc>
      </w:tr>
    </w:tbl>
    <w:p w14:paraId="472B93D6">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海南省医疗保障服务标准</w:t>
      </w:r>
      <w:r>
        <w:rPr>
          <w:rFonts w:ascii="黑体" w:eastAsia="黑体"/>
          <w:b w:val="0"/>
          <w:w w:val="100"/>
          <w:sz w:val="48"/>
        </w:rPr>
        <w:fldChar w:fldCharType="end"/>
      </w:r>
      <w:bookmarkEnd w:id="2"/>
    </w:p>
    <w:bookmarkEnd w:id="0"/>
    <w:p w14:paraId="6DD34E62">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YLBZ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5E72F70B">
      <w:pPr>
        <w:pStyle w:val="196"/>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7B7C3B22">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7F574E5">
      <w:pPr>
        <w:pStyle w:val="50"/>
        <w:framePr w:w="9639" w:h="6976" w:hRule="exact" w:hSpace="0" w:vSpace="0" w:wrap="around" w:hAnchor="page" w:y="6408"/>
        <w:jc w:val="center"/>
        <w:rPr>
          <w:rFonts w:hint="eastAsia" w:ascii="黑体" w:hAnsi="黑体" w:eastAsia="黑体"/>
          <w:b w:val="0"/>
          <w:bCs w:val="0"/>
          <w:w w:val="100"/>
        </w:rPr>
      </w:pPr>
    </w:p>
    <w:p w14:paraId="4E92649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医疗保险基金</w:t>
      </w:r>
      <w:r>
        <w:cr/>
      </w:r>
      <w:r>
        <w:t>支付方式管理工作规范</w:t>
      </w:r>
      <w:r>
        <w:fldChar w:fldCharType="end"/>
      </w:r>
      <w:bookmarkEnd w:id="7"/>
    </w:p>
    <w:p w14:paraId="612A9255">
      <w:pPr>
        <w:framePr w:w="9639" w:h="6974" w:hRule="exact" w:wrap="around" w:vAnchor="page" w:hAnchor="page" w:x="1419" w:y="6408" w:anchorLock="1"/>
        <w:ind w:left="-1418"/>
      </w:pPr>
    </w:p>
    <w:p w14:paraId="393CA2AB">
      <w:pPr>
        <w:framePr w:w="9639" w:h="6974" w:hRule="exact" w:wrap="around" w:vAnchor="page" w:hAnchor="page" w:x="1419" w:y="6408" w:anchorLock="1"/>
        <w:spacing w:line="760" w:lineRule="exact"/>
        <w:ind w:left="-1418"/>
      </w:pPr>
    </w:p>
    <w:p w14:paraId="66394127">
      <w:pPr>
        <w:pStyle w:val="125"/>
        <w:framePr w:w="9639" w:h="6974" w:hRule="exact" w:wrap="around" w:vAnchor="page" w:hAnchor="page" w:x="1419" w:y="6408" w:anchorLock="1"/>
        <w:textAlignment w:val="bottom"/>
        <w:rPr>
          <w:rFonts w:eastAsia="黑体"/>
          <w:szCs w:val="28"/>
        </w:rPr>
      </w:pPr>
    </w:p>
    <w:p w14:paraId="3D85568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14:paraId="3F544477">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14:paraId="1ED36C83">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2FF6AAEB">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2507BE3B">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3519B480">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海南省医疗保障局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62E6EE3">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60D2E2">
      <w:pPr>
        <w:spacing w:line="20" w:lineRule="exact"/>
        <w:jc w:val="center"/>
        <w:rPr>
          <w:rFonts w:hint="eastAsia" w:ascii="黑体" w:hAnsi="黑体" w:eastAsia="黑体"/>
          <w:sz w:val="32"/>
          <w:szCs w:val="32"/>
        </w:rPr>
      </w:pPr>
      <w:bookmarkStart w:id="17" w:name="BookMark4"/>
    </w:p>
    <w:p w14:paraId="5386E877">
      <w:pPr>
        <w:spacing w:line="20" w:lineRule="exact"/>
        <w:jc w:val="center"/>
        <w:rPr>
          <w:rFonts w:hint="eastAsia" w:ascii="黑体" w:hAnsi="黑体" w:eastAsia="黑体"/>
          <w:sz w:val="32"/>
          <w:szCs w:val="32"/>
        </w:rPr>
      </w:pPr>
    </w:p>
    <w:sdt>
      <w:sdtPr>
        <w:tag w:val="NEW_STAND_NAME"/>
        <w:id w:val="595910757"/>
        <w:lock w:val="sdtLocked"/>
        <w:placeholder>
          <w:docPart w:val="67BFBBA140C74BE186891DE760711F5D"/>
        </w:placeholder>
      </w:sdtPr>
      <w:sdtContent>
        <w:p w14:paraId="7990F831">
          <w:pPr>
            <w:pStyle w:val="177"/>
            <w:spacing w:before="312" w:beforeLines="100" w:after="3" w:afterLines="1"/>
            <w:rPr>
              <w:rFonts w:hint="eastAsia"/>
            </w:rPr>
          </w:pPr>
          <w:bookmarkStart w:id="18" w:name="NEW_STAND_NAME"/>
          <w:r>
            <w:rPr>
              <w:rFonts w:hint="eastAsia"/>
            </w:rPr>
            <w:t>医疗保险基金</w:t>
          </w:r>
        </w:p>
        <w:p w14:paraId="498E5D45">
          <w:pPr>
            <w:pStyle w:val="177"/>
            <w:spacing w:before="3" w:beforeLines="1" w:after="680"/>
            <w:rPr>
              <w:rFonts w:hint="eastAsia"/>
            </w:rPr>
          </w:pPr>
          <w:r>
            <w:rPr>
              <w:rFonts w:hint="eastAsia"/>
            </w:rPr>
            <w:t>支付方式管理工作规范</w:t>
          </w:r>
        </w:p>
      </w:sdtContent>
    </w:sdt>
    <w:bookmarkEnd w:id="18"/>
    <w:p w14:paraId="759D0870">
      <w:pPr>
        <w:pStyle w:val="104"/>
        <w:spacing w:before="312" w:after="312"/>
      </w:pPr>
      <w:bookmarkStart w:id="19" w:name="_Toc26986530"/>
      <w:bookmarkStart w:id="20" w:name="_Toc26986771"/>
      <w:bookmarkStart w:id="21" w:name="_Toc24884218"/>
      <w:bookmarkStart w:id="22" w:name="_Toc98918883"/>
      <w:bookmarkStart w:id="23" w:name="_Toc26718930"/>
      <w:bookmarkStart w:id="24" w:name="_Toc26648465"/>
      <w:bookmarkStart w:id="25" w:name="_Toc17233325"/>
      <w:bookmarkStart w:id="26" w:name="_Toc24884211"/>
      <w:bookmarkStart w:id="27" w:name="_Toc17233333"/>
      <w:r>
        <w:rPr>
          <w:rFonts w:hint="eastAsia"/>
        </w:rPr>
        <w:t>范围</w:t>
      </w:r>
      <w:bookmarkEnd w:id="19"/>
      <w:bookmarkEnd w:id="20"/>
      <w:bookmarkEnd w:id="21"/>
      <w:bookmarkEnd w:id="22"/>
      <w:bookmarkEnd w:id="23"/>
      <w:bookmarkEnd w:id="24"/>
      <w:bookmarkEnd w:id="25"/>
      <w:bookmarkEnd w:id="26"/>
      <w:bookmarkEnd w:id="27"/>
    </w:p>
    <w:p w14:paraId="2459B1DE">
      <w:pPr>
        <w:pStyle w:val="56"/>
        <w:ind w:firstLine="420"/>
      </w:pPr>
      <w:bookmarkStart w:id="28" w:name="_Toc24884219"/>
      <w:bookmarkStart w:id="29" w:name="_Toc17233334"/>
      <w:bookmarkStart w:id="30" w:name="_Toc26648466"/>
      <w:bookmarkStart w:id="31" w:name="_Toc24884212"/>
      <w:bookmarkStart w:id="32" w:name="_Toc17233326"/>
      <w:r>
        <w:rPr>
          <w:rFonts w:hint="eastAsia"/>
        </w:rPr>
        <w:t>本文件提供了海南省医疗保障局医疗保险基金支付的基本要求、支付范围</w:t>
      </w:r>
      <w:r>
        <w:t>、费用标准</w:t>
      </w:r>
      <w:r>
        <w:rPr>
          <w:rFonts w:hint="eastAsia"/>
        </w:rPr>
        <w:t>以及其他支付要求。</w:t>
      </w:r>
    </w:p>
    <w:p w14:paraId="20094AD2">
      <w:pPr>
        <w:pStyle w:val="56"/>
        <w:ind w:firstLine="420"/>
      </w:pPr>
      <w:r>
        <w:rPr>
          <w:rFonts w:hint="eastAsia"/>
        </w:rPr>
        <w:t>本文件适用于海南省海南省医疗保障局医疗保险基金支付工作。</w:t>
      </w:r>
    </w:p>
    <w:p w14:paraId="1F882478">
      <w:pPr>
        <w:pStyle w:val="104"/>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4EBE2B0">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86464A3">
      <w:pPr>
        <w:pStyle w:val="56"/>
        <w:ind w:firstLine="420"/>
      </w:pPr>
    </w:p>
    <w:p w14:paraId="2E758DDE">
      <w:pPr>
        <w:pStyle w:val="104"/>
        <w:spacing w:before="312" w:after="312"/>
      </w:pPr>
      <w:bookmarkStart w:id="37" w:name="_Toc98918885"/>
      <w:r>
        <w:rPr>
          <w:rFonts w:hint="eastAsia"/>
          <w:szCs w:val="21"/>
        </w:rPr>
        <w:t>术语和定义</w:t>
      </w:r>
      <w:bookmarkEnd w:id="37"/>
    </w:p>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ED05084">
          <w:pPr>
            <w:pStyle w:val="56"/>
            <w:ind w:firstLine="420"/>
          </w:pPr>
          <w:bookmarkStart w:id="38" w:name="_Toc26986532"/>
          <w:bookmarkEnd w:id="38"/>
          <w:r>
            <w:t>下列术语和定义适用于本文件。</w:t>
          </w:r>
        </w:p>
      </w:sdtContent>
    </w:sdt>
    <w:p w14:paraId="48ADD41C">
      <w:pPr>
        <w:pStyle w:val="105"/>
        <w:spacing w:before="156" w:after="156"/>
      </w:pPr>
      <w:r>
        <w:rPr>
          <w:rFonts w:hint="eastAsia"/>
        </w:rPr>
        <w:t>医疗保险基金</w:t>
      </w:r>
    </w:p>
    <w:p w14:paraId="4FAF0F43">
      <w:pPr>
        <w:pStyle w:val="105"/>
        <w:numPr>
          <w:ilvl w:val="2"/>
          <w:numId w:val="0"/>
        </w:numPr>
        <w:spacing w:before="156" w:after="156"/>
        <w:ind w:firstLine="420" w:firstLineChars="200"/>
        <w:rPr>
          <w:rFonts w:ascii="宋体" w:eastAsia="宋体"/>
        </w:rPr>
      </w:pPr>
      <w:r>
        <w:rPr>
          <w:rFonts w:hint="eastAsia" w:ascii="宋体" w:eastAsia="宋体"/>
        </w:rPr>
        <w:t>为保障参保对象的权益和医疗保险待遇，根据国家法律法规规定，由单位和个人缴纳、政府补助以及通过其他合法方式筹集的专项资金。</w:t>
      </w:r>
    </w:p>
    <w:p w14:paraId="09E9560F">
      <w:pPr>
        <w:pStyle w:val="105"/>
        <w:spacing w:before="156" w:after="156"/>
      </w:pPr>
      <w:r>
        <w:t>多元</w:t>
      </w:r>
      <w:r>
        <w:rPr>
          <w:rFonts w:hint="eastAsia"/>
        </w:rPr>
        <w:t>复合式医保支付方式</w:t>
      </w:r>
    </w:p>
    <w:p w14:paraId="57973352">
      <w:pPr>
        <w:widowControl/>
        <w:ind w:firstLine="420" w:firstLineChars="200"/>
        <w:jc w:val="left"/>
        <w:rPr>
          <w:rFonts w:hint="eastAsia" w:ascii="宋体" w:hAnsi="Times New Roman" w:eastAsia="宋体"/>
          <w:color w:val="FF0000"/>
          <w:kern w:val="0"/>
          <w:szCs w:val="20"/>
          <w:lang w:eastAsia="zh-CN"/>
        </w:rPr>
      </w:pPr>
      <w:r>
        <w:rPr>
          <w:rFonts w:hint="eastAsia" w:ascii="宋体" w:hAnsi="Times New Roman"/>
          <w:color w:val="000000" w:themeColor="text1"/>
          <w:kern w:val="0"/>
          <w:szCs w:val="20"/>
          <w14:textFill>
            <w14:solidFill>
              <w14:schemeClr w14:val="tx1"/>
            </w14:solidFill>
          </w14:textFill>
        </w:rPr>
        <w:t>对住院医疗服务，主要按病种、按疾病诊断相关分组付费，精神病类住院医疗服务按床日付费，探索</w:t>
      </w:r>
      <w:r>
        <w:rPr>
          <w:rFonts w:hint="eastAsia" w:ascii="宋体" w:hAnsi="Times New Roman"/>
          <w:color w:val="FF0000"/>
          <w:kern w:val="0"/>
          <w:szCs w:val="20"/>
          <w:lang w:eastAsia="zh-CN"/>
        </w:rPr>
        <w:t>对</w:t>
      </w:r>
      <w:r>
        <w:rPr>
          <w:rFonts w:hint="eastAsia" w:ascii="宋体" w:hAnsi="Times New Roman"/>
          <w:color w:val="000000" w:themeColor="text1"/>
          <w:kern w:val="0"/>
          <w:szCs w:val="20"/>
          <w14:textFill>
            <w14:solidFill>
              <w14:schemeClr w14:val="tx1"/>
            </w14:solidFill>
          </w14:textFill>
        </w:rPr>
        <w:t>医疗康复类</w:t>
      </w:r>
      <w:r>
        <w:rPr>
          <w:rFonts w:hint="eastAsia" w:ascii="宋体" w:hAnsi="Times New Roman"/>
          <w:color w:val="000000" w:themeColor="text1"/>
          <w:kern w:val="0"/>
          <w:szCs w:val="20"/>
          <w:lang w:eastAsia="zh-CN"/>
          <w14:textFill>
            <w14:solidFill>
              <w14:schemeClr w14:val="tx1"/>
            </w14:solidFill>
          </w14:textFill>
        </w:rPr>
        <w:t>、</w:t>
      </w:r>
      <w:r>
        <w:rPr>
          <w:rFonts w:hint="eastAsia" w:ascii="宋体" w:hAnsi="Times New Roman"/>
          <w:color w:val="FF0000"/>
          <w:kern w:val="0"/>
          <w:szCs w:val="20"/>
          <w:lang w:eastAsia="zh-CN"/>
        </w:rPr>
        <w:t>安宁疗护等</w:t>
      </w:r>
      <w:r>
        <w:rPr>
          <w:rFonts w:hint="eastAsia" w:ascii="宋体" w:hAnsi="Times New Roman"/>
          <w:color w:val="000000" w:themeColor="text1"/>
          <w:kern w:val="0"/>
          <w:szCs w:val="20"/>
          <w14:textFill>
            <w14:solidFill>
              <w14:schemeClr w14:val="tx1"/>
            </w14:solidFill>
          </w14:textFill>
        </w:rPr>
        <w:t>需长期住院治疗且日均费用较稳定的疾病费用按床日付费；对不宜打包付费的复杂病例</w:t>
      </w:r>
      <w:r>
        <w:rPr>
          <w:rFonts w:hint="eastAsia" w:ascii="宋体" w:hAnsi="Times New Roman"/>
          <w:strike w:val="0"/>
          <w:dstrike w:val="0"/>
          <w:color w:val="auto"/>
          <w:kern w:val="0"/>
          <w:szCs w:val="20"/>
        </w:rPr>
        <w:t>和门诊</w:t>
      </w:r>
      <w:r>
        <w:rPr>
          <w:rFonts w:hint="eastAsia" w:ascii="宋体" w:hAnsi="Times New Roman"/>
          <w:color w:val="000000" w:themeColor="text1"/>
          <w:kern w:val="0"/>
          <w:szCs w:val="20"/>
          <w14:textFill>
            <w14:solidFill>
              <w14:schemeClr w14:val="tx1"/>
            </w14:solidFill>
          </w14:textFill>
        </w:rPr>
        <w:t>费用，按项目付费</w:t>
      </w:r>
      <w:r>
        <w:rPr>
          <w:rFonts w:hint="eastAsia" w:ascii="宋体" w:hAnsi="Times New Roman"/>
          <w:color w:val="000000" w:themeColor="text1"/>
          <w:kern w:val="0"/>
          <w:szCs w:val="20"/>
          <w:lang w:eastAsia="zh-CN"/>
          <w14:textFill>
            <w14:solidFill>
              <w14:schemeClr w14:val="tx1"/>
            </w14:solidFill>
          </w14:textFill>
        </w:rPr>
        <w:t>，</w:t>
      </w:r>
      <w:r>
        <w:rPr>
          <w:rFonts w:hint="eastAsia" w:ascii="宋体" w:hAnsi="Times New Roman"/>
          <w:color w:val="FF0000"/>
          <w:kern w:val="0"/>
          <w:szCs w:val="20"/>
          <w:lang w:eastAsia="zh-CN"/>
        </w:rPr>
        <w:t>探索对普通门诊按人头</w:t>
      </w:r>
      <w:r>
        <w:rPr>
          <w:rFonts w:hint="eastAsia" w:ascii="宋体" w:hAnsi="Times New Roman"/>
          <w:color w:val="FF0000"/>
          <w:kern w:val="0"/>
          <w:szCs w:val="20"/>
          <w:lang w:val="en-US" w:eastAsia="zh-CN"/>
        </w:rPr>
        <w:t>+APG、门诊慢特病按人头付费</w:t>
      </w:r>
      <w:r>
        <w:rPr>
          <w:rFonts w:hint="eastAsia" w:ascii="宋体" w:hAnsi="Times New Roman"/>
          <w:color w:val="FF0000"/>
          <w:kern w:val="0"/>
          <w:szCs w:val="20"/>
        </w:rPr>
        <w:t>；设置基层病种</w:t>
      </w:r>
      <w:r>
        <w:rPr>
          <w:rFonts w:hint="eastAsia" w:ascii="宋体" w:hAnsi="Times New Roman"/>
          <w:color w:val="000000" w:themeColor="text1"/>
          <w:kern w:val="0"/>
          <w:szCs w:val="20"/>
          <w:lang w:eastAsia="zh-CN"/>
          <w14:textFill>
            <w14:solidFill>
              <w14:schemeClr w14:val="tx1"/>
            </w14:solidFill>
          </w14:textFill>
        </w:rPr>
        <w:t>；设置基层病种，</w:t>
      </w:r>
      <w:r>
        <w:rPr>
          <w:rFonts w:hint="eastAsia" w:ascii="宋体" w:hAnsi="Times New Roman"/>
          <w:color w:val="FF0000"/>
          <w:kern w:val="0"/>
          <w:szCs w:val="20"/>
          <w:lang w:eastAsia="zh-CN"/>
        </w:rPr>
        <w:t>按二级</w:t>
      </w:r>
      <w:r>
        <w:rPr>
          <w:rFonts w:hint="eastAsia" w:ascii="宋体" w:hAnsi="Times New Roman"/>
          <w:color w:val="000000" w:themeColor="text1"/>
          <w:kern w:val="0"/>
          <w:szCs w:val="20"/>
          <w14:textFill>
            <w14:solidFill>
              <w14:schemeClr w14:val="tx1"/>
            </w14:solidFill>
          </w14:textFill>
        </w:rPr>
        <w:t>医疗机构级别、系数，在统筹地区实行同病同支付</w:t>
      </w:r>
      <w:r>
        <w:rPr>
          <w:rFonts w:hint="eastAsia" w:ascii="宋体" w:hAnsi="Times New Roman"/>
          <w:color w:val="000000" w:themeColor="text1"/>
          <w:kern w:val="0"/>
          <w:szCs w:val="20"/>
          <w:lang w:eastAsia="zh-CN"/>
          <w14:textFill>
            <w14:solidFill>
              <w14:schemeClr w14:val="tx1"/>
            </w14:solidFill>
          </w14:textFill>
        </w:rPr>
        <w:t>；</w:t>
      </w:r>
      <w:r>
        <w:rPr>
          <w:rFonts w:hint="eastAsia" w:ascii="宋体" w:hAnsi="Times New Roman"/>
          <w:color w:val="FF0000"/>
          <w:kern w:val="0"/>
          <w:szCs w:val="20"/>
          <w:lang w:eastAsia="zh-CN"/>
        </w:rPr>
        <w:t>深化紧密型医疗联合体医保基金支付方式改革。</w:t>
      </w:r>
    </w:p>
    <w:p w14:paraId="5E98C1A1">
      <w:pPr>
        <w:pStyle w:val="104"/>
        <w:spacing w:before="312" w:after="312"/>
      </w:pPr>
      <w:r>
        <w:rPr>
          <w:rFonts w:hint="eastAsia"/>
        </w:rPr>
        <w:t>基本原则</w:t>
      </w:r>
    </w:p>
    <w:p w14:paraId="25492C76">
      <w:pPr>
        <w:pStyle w:val="105"/>
        <w:spacing w:before="156" w:after="156"/>
      </w:pPr>
      <w:r>
        <w:t>精细化原则</w:t>
      </w:r>
    </w:p>
    <w:p w14:paraId="033B5EB9">
      <w:pPr>
        <w:pStyle w:val="56"/>
        <w:ind w:firstLine="420"/>
      </w:pPr>
      <w:r>
        <w:rPr>
          <w:rFonts w:hint="eastAsia"/>
        </w:rPr>
        <w:t>健全医保支付机制和利益调控机制，实行精细化管理。</w:t>
      </w:r>
    </w:p>
    <w:p w14:paraId="17AD86FF">
      <w:pPr>
        <w:pStyle w:val="105"/>
        <w:spacing w:before="156" w:after="156"/>
      </w:pPr>
      <w:r>
        <w:rPr>
          <w:rFonts w:hint="eastAsia"/>
        </w:rPr>
        <w:t>约束性原则</w:t>
      </w:r>
    </w:p>
    <w:p w14:paraId="7720A96C">
      <w:pPr>
        <w:pStyle w:val="56"/>
        <w:ind w:firstLine="420"/>
      </w:pPr>
      <w:r>
        <w:rPr>
          <w:rFonts w:hint="eastAsia"/>
        </w:rPr>
        <w:t>激发医疗机构规范行为、控制成本、合理收治和转诊患者的内生动力，引导医疗资源合理配置和患者有序就医。</w:t>
      </w:r>
    </w:p>
    <w:p w14:paraId="3B107B56">
      <w:pPr>
        <w:pStyle w:val="105"/>
        <w:spacing w:before="156" w:after="156"/>
      </w:pPr>
      <w:r>
        <w:rPr>
          <w:rFonts w:hint="eastAsia"/>
        </w:rPr>
        <w:t>可持续性原则</w:t>
      </w:r>
    </w:p>
    <w:p w14:paraId="025869B0">
      <w:pPr>
        <w:pStyle w:val="56"/>
        <w:ind w:firstLine="420"/>
        <w:rPr>
          <w:rFonts w:hint="eastAsia" w:ascii="仿宋" w:hAnsi="仿宋" w:eastAsia="仿宋" w:cs="仿宋"/>
        </w:rPr>
      </w:pPr>
      <w:r>
        <w:rPr>
          <w:rFonts w:hint="eastAsia"/>
        </w:rPr>
        <w:t>支持建立分级诊疗模式和基层医疗卫生机构健康发展，切实保障广大参保人员基本医疗权益和医保制度长期可持续发展。</w:t>
      </w:r>
    </w:p>
    <w:p w14:paraId="14DB3771">
      <w:pPr>
        <w:pStyle w:val="104"/>
        <w:spacing w:before="312" w:after="312"/>
      </w:pPr>
      <w:r>
        <w:rPr>
          <w:rFonts w:hint="eastAsia"/>
        </w:rPr>
        <w:t>职责</w:t>
      </w:r>
    </w:p>
    <w:p w14:paraId="38EAADDD">
      <w:pPr>
        <w:pStyle w:val="105"/>
        <w:spacing w:before="156" w:after="156"/>
      </w:pPr>
      <w:r>
        <w:rPr>
          <w:rFonts w:hint="eastAsia"/>
        </w:rPr>
        <w:t>医保行政部门</w:t>
      </w:r>
    </w:p>
    <w:p w14:paraId="1E1CD087">
      <w:pPr>
        <w:pStyle w:val="165"/>
      </w:pPr>
      <w:r>
        <w:rPr>
          <w:rFonts w:hint="eastAsia"/>
        </w:rPr>
        <w:t>省级医保行政部门统筹全省DIP改革工作，确定区域总额预算、DIP病种分组及分值、医疗机构等级系数和调节系数、年度考核办法，开展DIP相关信息化建设和DIP数据采集等政策性工作。</w:t>
      </w:r>
    </w:p>
    <w:p w14:paraId="52788B55">
      <w:pPr>
        <w:pStyle w:val="165"/>
      </w:pPr>
      <w:r>
        <w:rPr>
          <w:rFonts w:hint="eastAsia"/>
        </w:rPr>
        <w:t>负责制定全省统一的协议范本，规范DIP经办管理程序。</w:t>
      </w:r>
    </w:p>
    <w:p w14:paraId="75860FDF">
      <w:pPr>
        <w:pStyle w:val="165"/>
      </w:pPr>
      <w:r>
        <w:rPr>
          <w:rFonts w:hint="eastAsia"/>
        </w:rPr>
        <w:t>负责制定全省统一的病种目录库，组织专家或委托第三方机构开展病种目录、分值动态调整等工作。</w:t>
      </w:r>
    </w:p>
    <w:p w14:paraId="331BCF9B">
      <w:pPr>
        <w:pStyle w:val="165"/>
      </w:pPr>
      <w:r>
        <w:rPr>
          <w:rFonts w:hint="eastAsia"/>
        </w:rPr>
        <w:t>设定定点医疗机构调节系数规则政策并动态调整。</w:t>
      </w:r>
    </w:p>
    <w:p w14:paraId="4CF82EDF">
      <w:pPr>
        <w:pStyle w:val="165"/>
      </w:pPr>
      <w:r>
        <w:rPr>
          <w:rFonts w:hint="eastAsia"/>
        </w:rPr>
        <w:t>建立协商谈判相关的工作机制。</w:t>
      </w:r>
    </w:p>
    <w:p w14:paraId="682AF860">
      <w:pPr>
        <w:pStyle w:val="165"/>
      </w:pPr>
      <w:r>
        <w:rPr>
          <w:rFonts w:hint="eastAsia"/>
        </w:rPr>
        <w:t>建立DIP争议处理机制。</w:t>
      </w:r>
    </w:p>
    <w:p w14:paraId="53877322">
      <w:pPr>
        <w:pStyle w:val="105"/>
        <w:spacing w:before="156" w:after="156"/>
      </w:pPr>
      <w:r>
        <w:rPr>
          <w:rFonts w:hint="eastAsia"/>
        </w:rPr>
        <w:t>医保经办机构</w:t>
      </w:r>
    </w:p>
    <w:p w14:paraId="0E58CDA6">
      <w:pPr>
        <w:pStyle w:val="165"/>
      </w:pPr>
      <w:r>
        <w:rPr>
          <w:rFonts w:hint="eastAsia"/>
        </w:rPr>
        <w:t>省级医保经办机构负责全省DIP改革具体实施工作,具体承接省本级的DIP业务，对市县经办业务进行指导。</w:t>
      </w:r>
    </w:p>
    <w:p w14:paraId="7FD61B2A">
      <w:pPr>
        <w:pStyle w:val="165"/>
      </w:pPr>
      <w:r>
        <w:rPr>
          <w:rFonts w:hint="eastAsia"/>
        </w:rPr>
        <w:t>市县医保经办机构落实区域DIP业务工作,做好协议管理，落实区域总额预算，计算分值点值,开展审核结算、考核评价、稽核检查，做好争议处理等经办服务工作。</w:t>
      </w:r>
    </w:p>
    <w:p w14:paraId="53DD0D7F">
      <w:pPr>
        <w:pStyle w:val="105"/>
        <w:spacing w:before="156" w:after="156"/>
      </w:pPr>
      <w:r>
        <w:rPr>
          <w:rFonts w:hint="eastAsia"/>
        </w:rPr>
        <w:t>相关部门</w:t>
      </w:r>
    </w:p>
    <w:p w14:paraId="625BA90F">
      <w:pPr>
        <w:pStyle w:val="56"/>
        <w:ind w:firstLine="420"/>
      </w:pPr>
      <w:r>
        <w:rPr>
          <w:rFonts w:hint="eastAsia"/>
        </w:rPr>
        <w:t>加强与卫生健康、财政等部门在政策制定、信息共享、联合监管等方面的协同。</w:t>
      </w:r>
    </w:p>
    <w:p w14:paraId="7171A22D">
      <w:pPr>
        <w:pStyle w:val="104"/>
        <w:spacing w:before="312" w:after="312"/>
      </w:pPr>
      <w:r>
        <w:rPr>
          <w:rFonts w:hint="eastAsia"/>
        </w:rPr>
        <w:t>支付方式的选择与管理</w:t>
      </w:r>
    </w:p>
    <w:p w14:paraId="2F67909C">
      <w:pPr>
        <w:pStyle w:val="10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多元化支付方式体系</w:t>
      </w:r>
    </w:p>
    <w:p w14:paraId="332378AE">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 明确建立和完善符合本地实际的、多元复合式医保支付方式体系。</w:t>
      </w:r>
    </w:p>
    <w:p w14:paraId="72D9740A">
      <w:pPr>
        <w:pStyle w:val="10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支付方式</w:t>
      </w:r>
    </w:p>
    <w:p w14:paraId="1B4592C1">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对住院医疗服务，主要按病种付费。其中，基层病种</w:t>
      </w:r>
      <w:r>
        <w:rPr>
          <w:rFonts w:hint="eastAsia"/>
          <w:color w:val="FF0000"/>
          <w:lang w:eastAsia="zh-CN"/>
        </w:rPr>
        <w:t>按二级</w:t>
      </w:r>
      <w:r>
        <w:rPr>
          <w:rFonts w:hint="eastAsia"/>
          <w:color w:val="000000" w:themeColor="text1"/>
          <w14:textFill>
            <w14:solidFill>
              <w14:schemeClr w14:val="tx1"/>
            </w14:solidFill>
          </w14:textFill>
        </w:rPr>
        <w:t>医疗机构级别、系数，在统筹地区实行同病同支付。</w:t>
      </w:r>
    </w:p>
    <w:p w14:paraId="571BB7F9">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日间手术治疗按病种付费。</w:t>
      </w:r>
    </w:p>
    <w:p w14:paraId="5D6DBEB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精神病类住院医疗服务按床日付费，其中精神病类急性期按病种付费</w:t>
      </w:r>
      <w:r>
        <w:rPr>
          <w:rFonts w:hint="eastAsia"/>
          <w:color w:val="000000" w:themeColor="text1"/>
          <w:lang w:eastAsia="zh-CN"/>
          <w14:textFill>
            <w14:solidFill>
              <w14:schemeClr w14:val="tx1"/>
            </w14:solidFill>
          </w14:textFill>
        </w:rPr>
        <w:t>、</w:t>
      </w:r>
      <w:r>
        <w:rPr>
          <w:rFonts w:hint="eastAsia"/>
          <w:color w:val="FF0000"/>
          <w:lang w:eastAsia="zh-CN"/>
        </w:rPr>
        <w:t>稳定期按床日付费</w:t>
      </w:r>
      <w:r>
        <w:rPr>
          <w:rFonts w:hint="eastAsia"/>
          <w:color w:val="000000" w:themeColor="text1"/>
          <w14:textFill>
            <w14:solidFill>
              <w14:schemeClr w14:val="tx1"/>
            </w14:solidFill>
          </w14:textFill>
        </w:rPr>
        <w:t>。</w:t>
      </w:r>
    </w:p>
    <w:p w14:paraId="56399A70">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对不宜打包付费的复杂病例和门诊费用，按项目付费。</w:t>
      </w:r>
    </w:p>
    <w:p w14:paraId="1F827A5F">
      <w:pPr>
        <w:pStyle w:val="165"/>
        <w:rPr>
          <w:color w:val="FF0000"/>
        </w:rPr>
      </w:pPr>
      <w:r>
        <w:rPr>
          <w:rFonts w:hint="eastAsia"/>
          <w:color w:val="FF0000"/>
          <w:lang w:eastAsia="zh-CN"/>
        </w:rPr>
        <w:t>紧密型医疗联合体实行医保基金总额预算管理，以</w:t>
      </w:r>
      <w:r>
        <w:rPr>
          <w:rFonts w:hint="eastAsia"/>
          <w:color w:val="FF0000"/>
          <w:lang w:val="en-US" w:eastAsia="zh-CN"/>
        </w:rPr>
        <w:t>DIP/DRG为主的多元复合支付方式。</w:t>
      </w:r>
    </w:p>
    <w:p w14:paraId="7AE6AA7A">
      <w:pPr>
        <w:pStyle w:val="105"/>
        <w:spacing w:before="156" w:after="156"/>
      </w:pPr>
      <w:r>
        <w:rPr>
          <w:rFonts w:hint="eastAsia"/>
        </w:rPr>
        <w:t>支付标准制定</w:t>
      </w:r>
    </w:p>
    <w:p w14:paraId="7E270AD2">
      <w:pPr>
        <w:pStyle w:val="165"/>
      </w:pPr>
      <w:r>
        <w:rPr>
          <w:rFonts w:hint="eastAsia"/>
        </w:rPr>
        <w:t>制定各类支付方式下支付标准（如病种/DRG/DIP组权重/点数、付费标准、人头付费标准、床日付费标准、总额预算指标等）的方法、依据和程序。</w:t>
      </w:r>
    </w:p>
    <w:p w14:paraId="3AD707E9">
      <w:pPr>
        <w:pStyle w:val="165"/>
      </w:pPr>
      <w:r>
        <w:rPr>
          <w:rFonts w:hint="eastAsia"/>
        </w:rPr>
        <w:t>强调支付标准制定的科学性、合理性，考虑历史数据、成本测算、医疗技术发展、价格水平、基金承受能力、谈判协商等因素。</w:t>
      </w:r>
    </w:p>
    <w:p w14:paraId="66574597">
      <w:pPr>
        <w:pStyle w:val="165"/>
      </w:pPr>
      <w:r>
        <w:rPr>
          <w:rFonts w:hint="eastAsia"/>
        </w:rPr>
        <w:t>规定支付标准的动态调整机制（周期、触发条件、调整方法）。</w:t>
      </w:r>
    </w:p>
    <w:p w14:paraId="3D15AACA">
      <w:pPr>
        <w:pStyle w:val="104"/>
        <w:spacing w:before="312" w:after="312"/>
      </w:pPr>
      <w:r>
        <w:rPr>
          <w:rFonts w:hint="eastAsia"/>
        </w:rPr>
        <w:t>支付方案与协议管理</w:t>
      </w:r>
    </w:p>
    <w:p w14:paraId="0345E7AB">
      <w:pPr>
        <w:pStyle w:val="105"/>
        <w:spacing w:before="156" w:after="156"/>
      </w:pPr>
      <w:r>
        <w:rPr>
          <w:rFonts w:hint="eastAsia"/>
        </w:rPr>
        <w:t>支付方案制定与下达</w:t>
      </w:r>
    </w:p>
    <w:p w14:paraId="2BD54E42">
      <w:pPr>
        <w:pStyle w:val="165"/>
      </w:pPr>
      <w:r>
        <w:rPr>
          <w:rFonts w:hint="eastAsia"/>
        </w:rPr>
        <w:t>医保经办机构根据年度预算、支付方式规则、历史数据、协商谈判结果等，制定具体年度的支付方案（如总额预算指标分配方案、DRG/DIP付费实施方案等）。</w:t>
      </w:r>
    </w:p>
    <w:p w14:paraId="31280A3A">
      <w:pPr>
        <w:pStyle w:val="165"/>
      </w:pPr>
      <w:r>
        <w:rPr>
          <w:rFonts w:hint="eastAsia"/>
        </w:rPr>
        <w:t>明确支付方案的内容要素（目标、范围、标准、考核指标、结算办法、风险分担机制等）。</w:t>
      </w:r>
    </w:p>
    <w:p w14:paraId="681D3227">
      <w:pPr>
        <w:pStyle w:val="165"/>
      </w:pPr>
      <w:r>
        <w:rPr>
          <w:rFonts w:hint="eastAsia"/>
        </w:rPr>
        <w:t>规定支付方案向定点医疗机构下达的程序和要求。</w:t>
      </w:r>
    </w:p>
    <w:p w14:paraId="4319EF44">
      <w:pPr>
        <w:pStyle w:val="105"/>
        <w:spacing w:before="156" w:after="156"/>
      </w:pPr>
      <w:r>
        <w:rPr>
          <w:rFonts w:hint="eastAsia"/>
        </w:rPr>
        <w:t>医保服务协议</w:t>
      </w:r>
    </w:p>
    <w:p w14:paraId="54FCC929">
      <w:pPr>
        <w:pStyle w:val="165"/>
      </w:pPr>
      <w:r>
        <w:rPr>
          <w:rFonts w:hint="eastAsia"/>
        </w:rPr>
        <w:t>将支付方式的具体规则、要求、考核指标、结算办法、双方权利义务等核心内容纳入医保服务协议。</w:t>
      </w:r>
    </w:p>
    <w:p w14:paraId="00BE1259">
      <w:pPr>
        <w:pStyle w:val="165"/>
      </w:pPr>
      <w:r>
        <w:rPr>
          <w:rFonts w:hint="eastAsia"/>
        </w:rPr>
        <w:t>协议应明确违约责任和处理方式。</w:t>
      </w:r>
    </w:p>
    <w:p w14:paraId="16D29BC1">
      <w:pPr>
        <w:pStyle w:val="104"/>
        <w:spacing w:before="312" w:after="312"/>
      </w:pPr>
      <w:r>
        <w:rPr>
          <w:rFonts w:hint="eastAsia"/>
        </w:rPr>
        <w:t>数据管理与信息系统支撑</w:t>
      </w:r>
    </w:p>
    <w:p w14:paraId="28ADF02A">
      <w:pPr>
        <w:pStyle w:val="105"/>
        <w:spacing w:before="156" w:after="156"/>
      </w:pPr>
      <w:r>
        <w:rPr>
          <w:rFonts w:hint="eastAsia"/>
        </w:rPr>
        <w:t>数据采集与质量</w:t>
      </w:r>
    </w:p>
    <w:p w14:paraId="33E35150">
      <w:pPr>
        <w:pStyle w:val="165"/>
      </w:pPr>
      <w:r>
        <w:rPr>
          <w:rFonts w:hint="eastAsia"/>
        </w:rPr>
        <w:t>规定医保结算清单、病案首页等核心数据的填报规范、传输要求、质量标准和校验规则。</w:t>
      </w:r>
    </w:p>
    <w:p w14:paraId="32B34849">
      <w:pPr>
        <w:pStyle w:val="165"/>
      </w:pPr>
      <w:r>
        <w:rPr>
          <w:rFonts w:hint="eastAsia"/>
        </w:rPr>
        <w:t>强调医疗机构确保数据真实、准确、完整、及时的责任。</w:t>
      </w:r>
    </w:p>
    <w:p w14:paraId="22E8EF07">
      <w:pPr>
        <w:pStyle w:val="165"/>
      </w:pPr>
      <w:r>
        <w:rPr>
          <w:rFonts w:hint="eastAsia"/>
        </w:rPr>
        <w:t>明确医保经办机构对数据质量的审核、监控和评价职责。</w:t>
      </w:r>
    </w:p>
    <w:p w14:paraId="5D269AD9">
      <w:pPr>
        <w:pStyle w:val="105"/>
        <w:spacing w:before="156" w:after="156"/>
      </w:pPr>
      <w:r>
        <w:rPr>
          <w:rFonts w:hint="eastAsia"/>
        </w:rPr>
        <w:t>信息系统建设</w:t>
      </w:r>
    </w:p>
    <w:p w14:paraId="2D0F5AFA">
      <w:pPr>
        <w:pStyle w:val="165"/>
      </w:pPr>
      <w:r>
        <w:rPr>
          <w:rFonts w:hint="eastAsia"/>
        </w:rPr>
        <w:t>要求建设或完善支持各类支付方式运行的信息系统，实现数据采集、分组（如DRG/DIP分组）、计算、审核、结算、监控、分析等功能。</w:t>
      </w:r>
    </w:p>
    <w:p w14:paraId="4121E669">
      <w:pPr>
        <w:pStyle w:val="165"/>
      </w:pPr>
      <w:r>
        <w:rPr>
          <w:rFonts w:hint="eastAsia"/>
        </w:rPr>
        <w:t>强调信息系统标准化、互联互通和安全保障。</w:t>
      </w:r>
    </w:p>
    <w:p w14:paraId="4C912FD2">
      <w:pPr>
        <w:pStyle w:val="104"/>
        <w:spacing w:before="312" w:after="312"/>
      </w:pPr>
      <w:r>
        <w:rPr>
          <w:rFonts w:hint="eastAsia"/>
        </w:rPr>
        <w:t>审核与结算</w:t>
      </w:r>
    </w:p>
    <w:p w14:paraId="78E477C8">
      <w:pPr>
        <w:pStyle w:val="105"/>
        <w:spacing w:before="156" w:after="156"/>
      </w:pPr>
      <w:r>
        <w:rPr>
          <w:rFonts w:hint="eastAsia"/>
        </w:rPr>
        <w:t>费用审核</w:t>
      </w:r>
    </w:p>
    <w:p w14:paraId="6FD43475">
      <w:pPr>
        <w:pStyle w:val="165"/>
      </w:pPr>
      <w:r>
        <w:rPr>
          <w:rFonts w:hint="eastAsia"/>
        </w:rPr>
        <w:t>建立基于支付方式的智能监控和人工审核相结合的审核机制。</w:t>
      </w:r>
    </w:p>
    <w:p w14:paraId="3AED4FA2">
      <w:pPr>
        <w:pStyle w:val="165"/>
      </w:pPr>
      <w:r>
        <w:rPr>
          <w:rFonts w:hint="eastAsia"/>
        </w:rPr>
        <w:t>重点审核医疗服务合理性、规范性、编码准确性、与支付方式规则的符合性等。</w:t>
      </w:r>
    </w:p>
    <w:p w14:paraId="3D14DFAE">
      <w:pPr>
        <w:pStyle w:val="105"/>
        <w:spacing w:before="156" w:after="156"/>
      </w:pPr>
      <w:r>
        <w:rPr>
          <w:rFonts w:hint="eastAsia"/>
        </w:rPr>
        <w:t>结算流程</w:t>
      </w:r>
    </w:p>
    <w:p w14:paraId="64D5EA47">
      <w:pPr>
        <w:pStyle w:val="165"/>
      </w:pPr>
      <w:r>
        <w:rPr>
          <w:rFonts w:hint="eastAsia"/>
        </w:rPr>
        <w:t>明确不同支付方式下的结算周期、结算依据、结算流程（如预付款、月度结算、年度清算/决算）。</w:t>
      </w:r>
    </w:p>
    <w:p w14:paraId="7D899E59">
      <w:pPr>
        <w:pStyle w:val="165"/>
      </w:pPr>
      <w:r>
        <w:rPr>
          <w:rFonts w:hint="eastAsia"/>
        </w:rPr>
        <w:t>规定清算/决算的具体方法，包括对医疗机构实际发生费用与预付/结算金额的比对、考核结果的运用、风险分担机制的执行等。</w:t>
      </w:r>
    </w:p>
    <w:p w14:paraId="238CC680">
      <w:pPr>
        <w:pStyle w:val="165"/>
      </w:pPr>
      <w:r>
        <w:rPr>
          <w:rFonts w:hint="eastAsia"/>
        </w:rPr>
        <w:t>强调结算的及时性和准确性。</w:t>
      </w:r>
    </w:p>
    <w:p w14:paraId="6AA7F43D">
      <w:pPr>
        <w:pStyle w:val="104"/>
        <w:spacing w:before="312" w:after="312"/>
      </w:pPr>
      <w:r>
        <w:rPr>
          <w:rFonts w:hint="eastAsia"/>
        </w:rPr>
        <w:t>考核评价与激励约束</w:t>
      </w:r>
    </w:p>
    <w:p w14:paraId="4851BCE6">
      <w:pPr>
        <w:pStyle w:val="105"/>
        <w:spacing w:before="156" w:after="156"/>
      </w:pPr>
      <w:r>
        <w:rPr>
          <w:rFonts w:hint="eastAsia"/>
        </w:rPr>
        <w:t>绩效考核指标体系：</w:t>
      </w:r>
    </w:p>
    <w:p w14:paraId="02C89D3F">
      <w:pPr>
        <w:pStyle w:val="56"/>
        <w:ind w:firstLine="420"/>
      </w:pPr>
      <w:r>
        <w:rPr>
          <w:rFonts w:hint="eastAsia"/>
        </w:rPr>
        <w:t>建立与支付方式相匹配的绩效考核评价指标体系，通常包括以下几类：</w:t>
      </w:r>
    </w:p>
    <w:p w14:paraId="65453D9F">
      <w:pPr>
        <w:pStyle w:val="174"/>
      </w:pPr>
      <w:r>
        <w:rPr>
          <w:rFonts w:hint="eastAsia"/>
        </w:rPr>
        <w:t>基金效率指标： 如次均费用、费用增长率、基金支出占比等；</w:t>
      </w:r>
    </w:p>
    <w:p w14:paraId="2C59DE66">
      <w:pPr>
        <w:pStyle w:val="174"/>
      </w:pPr>
      <w:r>
        <w:rPr>
          <w:rFonts w:hint="eastAsia"/>
        </w:rPr>
        <w:t>医疗质量指标： 如出院患者次均住院日、再入院率、死亡率、并发症发生率、患者满意度等；</w:t>
      </w:r>
    </w:p>
    <w:p w14:paraId="0EB5AD2C">
      <w:pPr>
        <w:pStyle w:val="174"/>
      </w:pPr>
      <w:r>
        <w:rPr>
          <w:rFonts w:hint="eastAsia"/>
        </w:rPr>
        <w:t>医疗服务能力指标： 如CMI值（病例组合指数）、三四级手术占比等；</w:t>
      </w:r>
    </w:p>
    <w:p w14:paraId="6AC13AB6">
      <w:pPr>
        <w:pStyle w:val="174"/>
      </w:pPr>
      <w:r>
        <w:rPr>
          <w:rFonts w:hint="eastAsia"/>
        </w:rPr>
        <w:t>行为规范性指标： 如合理用药、合理检查、编码准确率、低标入院、分解住院等违规行为发生率；</w:t>
      </w:r>
    </w:p>
    <w:p w14:paraId="11F64E22">
      <w:pPr>
        <w:pStyle w:val="174"/>
      </w:pPr>
      <w:r>
        <w:rPr>
          <w:rFonts w:hint="eastAsia"/>
        </w:rPr>
        <w:t>成本控制指标。</w:t>
      </w:r>
    </w:p>
    <w:p w14:paraId="3120250D">
      <w:pPr>
        <w:pStyle w:val="105"/>
        <w:spacing w:before="156" w:after="156"/>
      </w:pPr>
      <w:r>
        <w:rPr>
          <w:rFonts w:hint="eastAsia"/>
        </w:rPr>
        <w:t>考核评价与结果应用</w:t>
      </w:r>
    </w:p>
    <w:p w14:paraId="393A2E21">
      <w:pPr>
        <w:pStyle w:val="165"/>
      </w:pPr>
      <w:r>
        <w:rPr>
          <w:rFonts w:hint="eastAsia"/>
        </w:rPr>
        <w:t>规定考核评价的周期、方法和程序。</w:t>
      </w:r>
    </w:p>
    <w:p w14:paraId="080869A1">
      <w:pPr>
        <w:pStyle w:val="165"/>
      </w:pPr>
      <w:r>
        <w:rPr>
          <w:rFonts w:hint="eastAsia"/>
        </w:rPr>
        <w:t>明确考核评价结果与医保支付（如清算结余留用/超支分担、质量保证金返还、绩效奖励/惩罚）、协议续签、分级管理、信息公开等直接挂钩的具体规则。核心是建立“结余留用、合理超支分担”的激励约束机制。</w:t>
      </w:r>
    </w:p>
    <w:p w14:paraId="45C8FD76">
      <w:pPr>
        <w:pStyle w:val="104"/>
        <w:spacing w:before="312" w:after="312"/>
      </w:pPr>
      <w:r>
        <w:rPr>
          <w:rFonts w:hint="eastAsia"/>
        </w:rPr>
        <w:t>监督与风险控制</w:t>
      </w:r>
    </w:p>
    <w:p w14:paraId="4AB065A4">
      <w:pPr>
        <w:pStyle w:val="105"/>
        <w:spacing w:before="156" w:after="156"/>
      </w:pPr>
      <w:r>
        <w:rPr>
          <w:rFonts w:hint="eastAsia"/>
        </w:rPr>
        <w:t>运行监测</w:t>
      </w:r>
    </w:p>
    <w:p w14:paraId="6C38333F">
      <w:pPr>
        <w:pStyle w:val="56"/>
        <w:ind w:firstLine="420"/>
      </w:pPr>
      <w:r>
        <w:rPr>
          <w:rFonts w:hint="eastAsia"/>
        </w:rPr>
        <w:t>建立支付方式运行监测机制，定期分析基金支出、医疗行为、医疗质量等变化情况，评估政策效果和基金风险。</w:t>
      </w:r>
    </w:p>
    <w:p w14:paraId="4312DC97">
      <w:pPr>
        <w:pStyle w:val="105"/>
        <w:spacing w:before="156" w:after="156"/>
      </w:pPr>
      <w:r>
        <w:rPr>
          <w:rFonts w:hint="eastAsia"/>
        </w:rPr>
        <w:t>智能监控</w:t>
      </w:r>
    </w:p>
    <w:p w14:paraId="45A56B7D">
      <w:pPr>
        <w:pStyle w:val="56"/>
        <w:ind w:firstLine="420"/>
      </w:pPr>
      <w:r>
        <w:rPr>
          <w:rFonts w:hint="eastAsia"/>
        </w:rPr>
        <w:t>运用大数据、人工智能等技术手段加强对医疗服务行为的实时监控和预警。</w:t>
      </w:r>
    </w:p>
    <w:p w14:paraId="7619840E">
      <w:pPr>
        <w:pStyle w:val="105"/>
        <w:spacing w:before="156" w:after="156"/>
      </w:pPr>
      <w:r>
        <w:rPr>
          <w:rFonts w:hint="eastAsia"/>
        </w:rPr>
        <w:t>监督检查</w:t>
      </w:r>
    </w:p>
    <w:p w14:paraId="4BEC11A2">
      <w:pPr>
        <w:pStyle w:val="56"/>
        <w:ind w:firstLine="420"/>
      </w:pPr>
      <w:r>
        <w:rPr>
          <w:rFonts w:hint="eastAsia"/>
        </w:rPr>
        <w:t> 对医疗机构执行支付方式规则、履行协议情况进行监督检查，查处违规行为。</w:t>
      </w:r>
    </w:p>
    <w:p w14:paraId="3A6D5A21">
      <w:pPr>
        <w:pStyle w:val="105"/>
        <w:spacing w:before="156" w:after="156"/>
      </w:pPr>
      <w:r>
        <w:rPr>
          <w:rFonts w:hint="eastAsia"/>
        </w:rPr>
        <w:t>信用管理</w:t>
      </w:r>
    </w:p>
    <w:p w14:paraId="10277B82">
      <w:pPr>
        <w:pStyle w:val="56"/>
        <w:ind w:firstLine="420"/>
      </w:pPr>
      <w:r>
        <w:rPr>
          <w:rFonts w:hint="eastAsia"/>
        </w:rPr>
        <w:t>将支付方式管理中的履约、违规情况纳入医疗保障信用管理体系。</w:t>
      </w:r>
    </w:p>
    <w:p w14:paraId="55B9E3B2">
      <w:pPr>
        <w:pStyle w:val="105"/>
        <w:spacing w:before="156" w:after="156"/>
      </w:pPr>
      <w:r>
        <w:rPr>
          <w:rFonts w:hint="eastAsia"/>
        </w:rPr>
        <w:t>争议处理</w:t>
      </w:r>
    </w:p>
    <w:p w14:paraId="576109B7">
      <w:pPr>
        <w:pStyle w:val="56"/>
        <w:ind w:firstLine="420"/>
      </w:pPr>
      <w:r>
        <w:rPr>
          <w:rFonts w:hint="eastAsia"/>
        </w:rPr>
        <w:t> 建立支付方式相关的争议处理机制和渠道。</w:t>
      </w:r>
    </w:p>
    <w:p w14:paraId="40BE9A75">
      <w:pPr>
        <w:pStyle w:val="56"/>
        <w:ind w:firstLine="420"/>
      </w:pPr>
    </w:p>
    <w:p w14:paraId="6B384056">
      <w:pPr>
        <w:pStyle w:val="198"/>
        <w:rPr>
          <w:rFonts w:hint="eastAsia"/>
        </w:rPr>
        <w:sectPr>
          <w:headerReference r:id="rId9" w:type="default"/>
          <w:footerReference r:id="rId11" w:type="default"/>
          <w:headerReference r:id="rId10" w:type="even"/>
          <w:pgSz w:w="11906" w:h="16838"/>
          <w:pgMar w:top="1928" w:right="1134" w:bottom="1134" w:left="1134" w:header="1418" w:footer="1134" w:gutter="284"/>
          <w:cols w:space="425" w:num="1"/>
          <w:formProt w:val="0"/>
          <w:docGrid w:type="lines" w:linePitch="312" w:charSpace="0"/>
        </w:sectPr>
      </w:pPr>
    </w:p>
    <w:bookmarkEnd w:id="17"/>
    <w:p w14:paraId="6809082B">
      <w:pPr>
        <w:pStyle w:val="198"/>
        <w:rPr>
          <w:rFonts w:hint="eastAsia"/>
        </w:rPr>
      </w:pPr>
      <w:bookmarkStart w:id="39" w:name="BookMark5"/>
    </w:p>
    <w:p w14:paraId="3D8B4D3C">
      <w:pPr>
        <w:pStyle w:val="199"/>
      </w:pPr>
    </w:p>
    <w:p w14:paraId="241EDB0E">
      <w:pPr>
        <w:pStyle w:val="76"/>
        <w:numPr>
          <w:ilvl w:val="0"/>
          <w:numId w:val="0"/>
        </w:numPr>
        <w:spacing w:before="78" w:after="156"/>
      </w:pPr>
      <w:r>
        <w:rPr>
          <w:rFonts w:hint="eastAsia"/>
        </w:rPr>
        <w:t>参考文献</w:t>
      </w:r>
    </w:p>
    <w:p w14:paraId="4EC65CE9">
      <w:pPr>
        <w:pStyle w:val="56"/>
        <w:numPr>
          <w:ilvl w:val="0"/>
          <w:numId w:val="32"/>
        </w:numPr>
        <w:ind w:firstLine="420"/>
      </w:pPr>
      <w:r>
        <w:t>《</w:t>
      </w:r>
      <w:r>
        <w:rPr>
          <w:rFonts w:hint="eastAsia"/>
        </w:rPr>
        <w:t>国务院办公厅关于进一步深化基本医疗保险支付方式改革的指导意见</w:t>
      </w:r>
      <w:r>
        <w:t>》（国办发〔2017〕55号）</w:t>
      </w:r>
    </w:p>
    <w:p w14:paraId="2AE732A8">
      <w:pPr>
        <w:pStyle w:val="56"/>
        <w:numPr>
          <w:ilvl w:val="0"/>
          <w:numId w:val="32"/>
        </w:numPr>
        <w:ind w:firstLine="420"/>
      </w:pPr>
      <w:r>
        <w:rPr>
          <w:rFonts w:hint="eastAsia"/>
        </w:rPr>
        <w:t>《国家医疗保障局办公室关于印发&lt;按病种付费医疗保障经办管理规程（2025版）&gt;的通知》</w:t>
      </w:r>
    </w:p>
    <w:p w14:paraId="028F32F9">
      <w:pPr>
        <w:pStyle w:val="56"/>
        <w:numPr>
          <w:ilvl w:val="0"/>
          <w:numId w:val="32"/>
        </w:numPr>
        <w:ind w:firstLine="420"/>
      </w:pPr>
      <w:r>
        <w:rPr>
          <w:rFonts w:hint="eastAsia"/>
        </w:rPr>
        <w:t>《海南省医疗保障局 关于印发&lt;海南省DIP/DRG支付方式综合改革三年行动计划&gt;的通知》（琼医保〔2022〕</w:t>
      </w:r>
      <w:r>
        <w:t> </w:t>
      </w:r>
      <w:r>
        <w:rPr>
          <w:rFonts w:hint="eastAsia"/>
        </w:rPr>
        <w:t>129</w:t>
      </w:r>
      <w:r>
        <w:t> </w:t>
      </w:r>
      <w:r>
        <w:rPr>
          <w:rFonts w:hint="eastAsia"/>
        </w:rPr>
        <w:t>号）</w:t>
      </w:r>
    </w:p>
    <w:p w14:paraId="4AA32910">
      <w:pPr>
        <w:pStyle w:val="56"/>
        <w:numPr>
          <w:ilvl w:val="0"/>
          <w:numId w:val="32"/>
        </w:numPr>
        <w:ind w:firstLine="420"/>
      </w:pPr>
      <w:r>
        <w:rPr>
          <w:rFonts w:hint="eastAsia"/>
        </w:rPr>
        <w:t>《海南省医疗保障局 海南省医疗保险服务中心关于印发&lt;海南省按病种分值付费(DIP)医疗保障经办管理规程(试行)&gt;的通知》（琼医保〔2022〕206号）</w:t>
      </w:r>
    </w:p>
    <w:p w14:paraId="7E8435CB">
      <w:pPr>
        <w:pStyle w:val="56"/>
        <w:numPr>
          <w:ilvl w:val="0"/>
          <w:numId w:val="32"/>
        </w:numPr>
        <w:ind w:firstLine="420"/>
        <w:rPr>
          <w:color w:val="FF0000"/>
        </w:rPr>
      </w:pPr>
      <w:r>
        <w:rPr>
          <w:rFonts w:hint="eastAsia"/>
          <w:color w:val="FF0000"/>
          <w:lang w:eastAsia="zh-CN"/>
        </w:rPr>
        <w:t>《国家医疗保障局办公室关于印发按病组和病种分值付费</w:t>
      </w:r>
      <w:r>
        <w:rPr>
          <w:rFonts w:hint="eastAsia"/>
          <w:color w:val="FF0000"/>
          <w:lang w:val="en-US" w:eastAsia="zh-CN"/>
        </w:rPr>
        <w:t>2.0版分组方案并深入推进相关工作的通知》（医保办发</w:t>
      </w:r>
      <w:r>
        <w:rPr>
          <w:rFonts w:hint="eastAsia"/>
          <w:color w:val="FF0000"/>
        </w:rPr>
        <w:t>〔202</w:t>
      </w:r>
      <w:r>
        <w:rPr>
          <w:rFonts w:hint="eastAsia"/>
          <w:color w:val="FF0000"/>
          <w:lang w:val="en-US" w:eastAsia="zh-CN"/>
        </w:rPr>
        <w:t>4</w:t>
      </w:r>
      <w:r>
        <w:rPr>
          <w:rFonts w:hint="eastAsia"/>
          <w:color w:val="FF0000"/>
        </w:rPr>
        <w:t>〕</w:t>
      </w:r>
      <w:r>
        <w:rPr>
          <w:rFonts w:hint="eastAsia"/>
          <w:color w:val="FF0000"/>
          <w:lang w:val="en-US" w:eastAsia="zh-CN"/>
        </w:rPr>
        <w:t>9号）</w:t>
      </w:r>
    </w:p>
    <w:p w14:paraId="44A402E3">
      <w:pPr>
        <w:pStyle w:val="56"/>
        <w:numPr>
          <w:numId w:val="0"/>
        </w:numPr>
        <w:rPr>
          <w:rFonts w:hint="default" w:eastAsia="宋体"/>
          <w:lang w:val="en-US" w:eastAsia="zh-CN"/>
        </w:rPr>
      </w:pPr>
      <w:r>
        <w:rPr>
          <w:rFonts w:hint="eastAsia"/>
          <w:lang w:val="en-US" w:eastAsia="zh-CN"/>
        </w:rPr>
        <w:t xml:space="preserve">    </w:t>
      </w:r>
      <w:r>
        <w:rPr>
          <w:rFonts w:hint="eastAsia"/>
          <w:color w:val="FF0000"/>
          <w:lang w:val="en-US" w:eastAsia="zh-CN"/>
        </w:rPr>
        <w:t>《海南省医疗保障局 海南省卫生健康委员会关于印发</w:t>
      </w:r>
      <w:r>
        <w:rPr>
          <w:rFonts w:hint="eastAsia" w:ascii="宋体" w:hAnsi="宋体" w:eastAsia="宋体" w:cs="宋体"/>
          <w:color w:val="FF0000"/>
          <w:lang w:val="en-US" w:eastAsia="zh-CN"/>
        </w:rPr>
        <w:t>&lt;</w:t>
      </w:r>
      <w:r>
        <w:rPr>
          <w:rFonts w:hint="eastAsia" w:hAnsi="宋体" w:cs="宋体"/>
          <w:color w:val="FF0000"/>
          <w:lang w:val="en-US" w:eastAsia="zh-CN"/>
        </w:rPr>
        <w:t>海南省协同推进医保支付方式改革和紧密型医疗联合体建设指导意见</w:t>
      </w:r>
      <w:r>
        <w:rPr>
          <w:rFonts w:hint="eastAsia" w:ascii="宋体" w:hAnsi="宋体" w:eastAsia="宋体" w:cs="宋体"/>
          <w:color w:val="FF0000"/>
          <w:lang w:val="en-US" w:eastAsia="zh-CN"/>
        </w:rPr>
        <w:t>&gt;</w:t>
      </w:r>
      <w:r>
        <w:rPr>
          <w:rFonts w:hint="eastAsia" w:hAnsi="宋体" w:cs="宋体"/>
          <w:color w:val="FF0000"/>
          <w:lang w:val="en-US" w:eastAsia="zh-CN"/>
        </w:rPr>
        <w:t>的通知</w:t>
      </w:r>
      <w:r>
        <w:rPr>
          <w:rFonts w:hint="eastAsia"/>
          <w:color w:val="FF0000"/>
          <w:lang w:val="en-US" w:eastAsia="zh-CN"/>
        </w:rPr>
        <w:t>》（琼医保</w:t>
      </w:r>
      <w:r>
        <w:rPr>
          <w:rFonts w:hint="eastAsia"/>
          <w:color w:val="FF0000"/>
        </w:rPr>
        <w:t>〔202</w:t>
      </w:r>
      <w:r>
        <w:rPr>
          <w:rFonts w:hint="eastAsia"/>
          <w:color w:val="FF0000"/>
          <w:lang w:val="en-US" w:eastAsia="zh-CN"/>
        </w:rPr>
        <w:t>3</w:t>
      </w:r>
      <w:r>
        <w:rPr>
          <w:rFonts w:hint="eastAsia"/>
          <w:color w:val="FF0000"/>
        </w:rPr>
        <w:t>〕</w:t>
      </w:r>
      <w:r>
        <w:rPr>
          <w:rFonts w:hint="eastAsia"/>
          <w:color w:val="FF0000"/>
          <w:lang w:val="en-US" w:eastAsia="zh-CN"/>
        </w:rPr>
        <w:t>181号）</w:t>
      </w:r>
    </w:p>
    <w:bookmarkEnd w:id="39"/>
    <w:p w14:paraId="706B23E7">
      <w:pPr>
        <w:pStyle w:val="56"/>
        <w:ind w:firstLine="0" w:firstLineChars="0"/>
        <w:jc w:val="center"/>
      </w:pPr>
      <w:bookmarkStart w:id="40" w:name="BookMark8"/>
      <w:r>
        <w:drawing>
          <wp:inline distT="0" distB="0" distL="0" distR="0">
            <wp:extent cx="1485900" cy="317500"/>
            <wp:effectExtent l="0" t="0" r="0" b="6350"/>
            <wp:docPr id="850027003" name="图片 1"/>
            <wp:cNvGraphicFramePr/>
            <a:graphic xmlns:a="http://schemas.openxmlformats.org/drawingml/2006/main">
              <a:graphicData uri="http://schemas.openxmlformats.org/drawingml/2006/picture">
                <pic:pic xmlns:pic="http://schemas.openxmlformats.org/drawingml/2006/picture">
                  <pic:nvPicPr>
                    <pic:cNvPr id="850027003"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
      <w:bookmarkStart w:id="41" w:name="_GoBack"/>
      <w:bookmarkEnd w:id="4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DA98F">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94E4">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DCAF1">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89C0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EE2E4">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0FF3C">
    <w:pPr>
      <w:pStyle w:val="61"/>
      <w:rPr>
        <w:rFonts w:hint="eastAsia"/>
      </w:rPr>
    </w:pPr>
    <w:r>
      <w:fldChar w:fldCharType="begin"/>
    </w:r>
    <w:r>
      <w:instrText xml:space="preserve"> STYLEREF  标准文件_文件编号  \* MERGEFORMAT </w:instrText>
    </w:r>
    <w:r>
      <w:fldChar w:fldCharType="separate"/>
    </w:r>
    <w:r>
      <w:t>Q/YLBZ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0EF52">
    <w:pPr>
      <w:pStyle w:val="18"/>
      <w:jc w:val="right"/>
    </w:pPr>
    <w:r>
      <w:fldChar w:fldCharType="begin"/>
    </w:r>
    <w:r>
      <w:instrText xml:space="preserve"> STYLEREF  标准文件_文件编号  \* MERGEFORMAT </w:instrText>
    </w:r>
    <w:r>
      <w:fldChar w:fldCharType="separate"/>
    </w:r>
    <w:r>
      <w:t>Q/YLBZ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cumentProtection w:edit="forms" w:enforcement="1" w:cryptProviderType="rsaAES" w:cryptAlgorithmClass="hash" w:cryptAlgorithmType="typeAny" w:cryptAlgorithmSid="14" w:cryptSpinCount="100000" w:hash="krMK3gpP5yGTn8zswz878NMqII4WpE5ODSIp/qzVu4e6TVzNlwj3Dl8Vn4m50VSdl/WAjOMQe0qABI7VNFaHKw==" w:salt="wy1vGSL79KZzZRTNSzWcQ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432"/>
    <w:rsid w:val="0000040A"/>
    <w:rsid w:val="00000A94"/>
    <w:rsid w:val="00001972"/>
    <w:rsid w:val="00001D9A"/>
    <w:rsid w:val="0000380F"/>
    <w:rsid w:val="00004C1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AF9"/>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B2"/>
    <w:rsid w:val="00067F1E"/>
    <w:rsid w:val="00071CC0"/>
    <w:rsid w:val="00073C8C"/>
    <w:rsid w:val="000767CF"/>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6361"/>
    <w:rsid w:val="000D753B"/>
    <w:rsid w:val="000E2254"/>
    <w:rsid w:val="000E48DB"/>
    <w:rsid w:val="000E4C9E"/>
    <w:rsid w:val="000E6FD7"/>
    <w:rsid w:val="000F06E1"/>
    <w:rsid w:val="000F0E3C"/>
    <w:rsid w:val="000F19D5"/>
    <w:rsid w:val="000F3A23"/>
    <w:rsid w:val="000F4AEA"/>
    <w:rsid w:val="000F4DA4"/>
    <w:rsid w:val="000F67E9"/>
    <w:rsid w:val="00103A83"/>
    <w:rsid w:val="00104926"/>
    <w:rsid w:val="00113B1E"/>
    <w:rsid w:val="0011711C"/>
    <w:rsid w:val="00124E4F"/>
    <w:rsid w:val="001260B7"/>
    <w:rsid w:val="001265CB"/>
    <w:rsid w:val="0012665A"/>
    <w:rsid w:val="001321C6"/>
    <w:rsid w:val="001325C4"/>
    <w:rsid w:val="00133010"/>
    <w:rsid w:val="001338EE"/>
    <w:rsid w:val="00133AAE"/>
    <w:rsid w:val="0013471B"/>
    <w:rsid w:val="00135323"/>
    <w:rsid w:val="001356C4"/>
    <w:rsid w:val="00141114"/>
    <w:rsid w:val="00142969"/>
    <w:rsid w:val="00142DC5"/>
    <w:rsid w:val="001446C2"/>
    <w:rsid w:val="001457E7"/>
    <w:rsid w:val="00145D9D"/>
    <w:rsid w:val="00146388"/>
    <w:rsid w:val="001529E5"/>
    <w:rsid w:val="00152BF4"/>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DC6"/>
    <w:rsid w:val="00196EF5"/>
    <w:rsid w:val="001A1A53"/>
    <w:rsid w:val="001A234A"/>
    <w:rsid w:val="001A4CF3"/>
    <w:rsid w:val="001B06E8"/>
    <w:rsid w:val="001B48D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451"/>
    <w:rsid w:val="00225CF8"/>
    <w:rsid w:val="0022794E"/>
    <w:rsid w:val="0023189B"/>
    <w:rsid w:val="00233D64"/>
    <w:rsid w:val="0023482A"/>
    <w:rsid w:val="002359CB"/>
    <w:rsid w:val="00241B2C"/>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9FB"/>
    <w:rsid w:val="00267EF4"/>
    <w:rsid w:val="00270CB8"/>
    <w:rsid w:val="00272222"/>
    <w:rsid w:val="002727CD"/>
    <w:rsid w:val="00272B08"/>
    <w:rsid w:val="00281BB8"/>
    <w:rsid w:val="00281E9E"/>
    <w:rsid w:val="00282405"/>
    <w:rsid w:val="002828A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AD8"/>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DA1"/>
    <w:rsid w:val="00300E63"/>
    <w:rsid w:val="00302F5F"/>
    <w:rsid w:val="00303D29"/>
    <w:rsid w:val="0030441D"/>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2837"/>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0F1F"/>
    <w:rsid w:val="00371316"/>
    <w:rsid w:val="00376713"/>
    <w:rsid w:val="00377829"/>
    <w:rsid w:val="00381815"/>
    <w:rsid w:val="003819AF"/>
    <w:rsid w:val="00381E71"/>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5C27"/>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BB7"/>
    <w:rsid w:val="00404869"/>
    <w:rsid w:val="00405884"/>
    <w:rsid w:val="00407D39"/>
    <w:rsid w:val="0041477A"/>
    <w:rsid w:val="004167A3"/>
    <w:rsid w:val="0042485C"/>
    <w:rsid w:val="00432DAA"/>
    <w:rsid w:val="00434305"/>
    <w:rsid w:val="00435DF7"/>
    <w:rsid w:val="0044083F"/>
    <w:rsid w:val="00441AE7"/>
    <w:rsid w:val="004420FB"/>
    <w:rsid w:val="00445574"/>
    <w:rsid w:val="004467FB"/>
    <w:rsid w:val="00452D6B"/>
    <w:rsid w:val="00454484"/>
    <w:rsid w:val="0045517B"/>
    <w:rsid w:val="00462BD2"/>
    <w:rsid w:val="00463B77"/>
    <w:rsid w:val="00463C7B"/>
    <w:rsid w:val="004644A6"/>
    <w:rsid w:val="004659BD"/>
    <w:rsid w:val="00470775"/>
    <w:rsid w:val="004711CD"/>
    <w:rsid w:val="004746B1"/>
    <w:rsid w:val="0047583F"/>
    <w:rsid w:val="00475DE8"/>
    <w:rsid w:val="00481C44"/>
    <w:rsid w:val="00484936"/>
    <w:rsid w:val="00485C89"/>
    <w:rsid w:val="00486BE3"/>
    <w:rsid w:val="00487C7F"/>
    <w:rsid w:val="004905E4"/>
    <w:rsid w:val="00490A89"/>
    <w:rsid w:val="00490AB4"/>
    <w:rsid w:val="00492F02"/>
    <w:rsid w:val="004939AE"/>
    <w:rsid w:val="004A12DF"/>
    <w:rsid w:val="004A1BA8"/>
    <w:rsid w:val="004A4B57"/>
    <w:rsid w:val="004A63FA"/>
    <w:rsid w:val="004B0272"/>
    <w:rsid w:val="004B11D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09"/>
    <w:rsid w:val="00514174"/>
    <w:rsid w:val="00516088"/>
    <w:rsid w:val="00516B0B"/>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0D92"/>
    <w:rsid w:val="00561475"/>
    <w:rsid w:val="0056487B"/>
    <w:rsid w:val="00564FB9"/>
    <w:rsid w:val="00571374"/>
    <w:rsid w:val="00573D9E"/>
    <w:rsid w:val="005801E3"/>
    <w:rsid w:val="00581802"/>
    <w:rsid w:val="005836A8"/>
    <w:rsid w:val="0058409C"/>
    <w:rsid w:val="00584262"/>
    <w:rsid w:val="00586630"/>
    <w:rsid w:val="00587ADD"/>
    <w:rsid w:val="0059187A"/>
    <w:rsid w:val="00596160"/>
    <w:rsid w:val="005966E2"/>
    <w:rsid w:val="00597007"/>
    <w:rsid w:val="005A0966"/>
    <w:rsid w:val="005A11B7"/>
    <w:rsid w:val="005A260B"/>
    <w:rsid w:val="005A4A1B"/>
    <w:rsid w:val="005A7830"/>
    <w:rsid w:val="005A7FCE"/>
    <w:rsid w:val="005B0F3F"/>
    <w:rsid w:val="005B25DA"/>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475E2"/>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656"/>
    <w:rsid w:val="006840A6"/>
    <w:rsid w:val="006850CD"/>
    <w:rsid w:val="00685AAB"/>
    <w:rsid w:val="006A07AA"/>
    <w:rsid w:val="006A12B3"/>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28E"/>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029"/>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8B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609"/>
    <w:rsid w:val="0083348C"/>
    <w:rsid w:val="0083349A"/>
    <w:rsid w:val="008373D3"/>
    <w:rsid w:val="00840617"/>
    <w:rsid w:val="00840F84"/>
    <w:rsid w:val="00841754"/>
    <w:rsid w:val="00842A47"/>
    <w:rsid w:val="00843C13"/>
    <w:rsid w:val="00843F6A"/>
    <w:rsid w:val="008454F8"/>
    <w:rsid w:val="0085173A"/>
    <w:rsid w:val="008603CE"/>
    <w:rsid w:val="008619DB"/>
    <w:rsid w:val="008620FC"/>
    <w:rsid w:val="00862306"/>
    <w:rsid w:val="008627A5"/>
    <w:rsid w:val="00863E05"/>
    <w:rsid w:val="008655C4"/>
    <w:rsid w:val="00865ACA"/>
    <w:rsid w:val="00865D28"/>
    <w:rsid w:val="00865F85"/>
    <w:rsid w:val="00867C10"/>
    <w:rsid w:val="00870439"/>
    <w:rsid w:val="00870DA1"/>
    <w:rsid w:val="008732F5"/>
    <w:rsid w:val="00874488"/>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3189"/>
    <w:rsid w:val="008A57E6"/>
    <w:rsid w:val="008A6EB7"/>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224"/>
    <w:rsid w:val="00922DD4"/>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6EB5"/>
    <w:rsid w:val="00997BF1"/>
    <w:rsid w:val="009A089C"/>
    <w:rsid w:val="009A118E"/>
    <w:rsid w:val="009A21CD"/>
    <w:rsid w:val="009A278C"/>
    <w:rsid w:val="009A2BC2"/>
    <w:rsid w:val="009A42C1"/>
    <w:rsid w:val="009A5429"/>
    <w:rsid w:val="009A72AD"/>
    <w:rsid w:val="009B09E0"/>
    <w:rsid w:val="009B0BC5"/>
    <w:rsid w:val="009B0F63"/>
    <w:rsid w:val="009B1247"/>
    <w:rsid w:val="009B43D2"/>
    <w:rsid w:val="009B6029"/>
    <w:rsid w:val="009B6971"/>
    <w:rsid w:val="009C27F1"/>
    <w:rsid w:val="009C3152"/>
    <w:rsid w:val="009C4CFA"/>
    <w:rsid w:val="009C5070"/>
    <w:rsid w:val="009D112C"/>
    <w:rsid w:val="009D3259"/>
    <w:rsid w:val="009D47FA"/>
    <w:rsid w:val="009D4C5B"/>
    <w:rsid w:val="009D50D2"/>
    <w:rsid w:val="009D651A"/>
    <w:rsid w:val="009D6B56"/>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26DE5"/>
    <w:rsid w:val="00A30EFC"/>
    <w:rsid w:val="00A31984"/>
    <w:rsid w:val="00A32A19"/>
    <w:rsid w:val="00A32D73"/>
    <w:rsid w:val="00A3367B"/>
    <w:rsid w:val="00A3597D"/>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F95"/>
    <w:rsid w:val="00A9295B"/>
    <w:rsid w:val="00A93B09"/>
    <w:rsid w:val="00A952D7"/>
    <w:rsid w:val="00A963F7"/>
    <w:rsid w:val="00A96AD8"/>
    <w:rsid w:val="00AA052C"/>
    <w:rsid w:val="00AA1E45"/>
    <w:rsid w:val="00AA4286"/>
    <w:rsid w:val="00AA456B"/>
    <w:rsid w:val="00AA57F5"/>
    <w:rsid w:val="00AA672E"/>
    <w:rsid w:val="00AA6EC9"/>
    <w:rsid w:val="00AA6FBB"/>
    <w:rsid w:val="00AA721B"/>
    <w:rsid w:val="00AB3240"/>
    <w:rsid w:val="00AB6309"/>
    <w:rsid w:val="00AB6C5F"/>
    <w:rsid w:val="00AB7129"/>
    <w:rsid w:val="00AC095C"/>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087"/>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F96"/>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943"/>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16AE6"/>
    <w:rsid w:val="00C21540"/>
    <w:rsid w:val="00C2187E"/>
    <w:rsid w:val="00C21906"/>
    <w:rsid w:val="00C21BFA"/>
    <w:rsid w:val="00C24C8D"/>
    <w:rsid w:val="00C25FE2"/>
    <w:rsid w:val="00C26B53"/>
    <w:rsid w:val="00C279B2"/>
    <w:rsid w:val="00C33E50"/>
    <w:rsid w:val="00C34C20"/>
    <w:rsid w:val="00C35A3E"/>
    <w:rsid w:val="00C42130"/>
    <w:rsid w:val="00C423A4"/>
    <w:rsid w:val="00C44BF5"/>
    <w:rsid w:val="00C463FE"/>
    <w:rsid w:val="00C521D6"/>
    <w:rsid w:val="00C53AA2"/>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7AB9"/>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D41"/>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0A6"/>
    <w:rsid w:val="00D250E4"/>
    <w:rsid w:val="00D25E37"/>
    <w:rsid w:val="00D2661A"/>
    <w:rsid w:val="00D27582"/>
    <w:rsid w:val="00D27EC4"/>
    <w:rsid w:val="00D32719"/>
    <w:rsid w:val="00D33333"/>
    <w:rsid w:val="00D352A2"/>
    <w:rsid w:val="00D410E2"/>
    <w:rsid w:val="00D4162B"/>
    <w:rsid w:val="00D4514F"/>
    <w:rsid w:val="00D451E2"/>
    <w:rsid w:val="00D45E89"/>
    <w:rsid w:val="00D45E8D"/>
    <w:rsid w:val="00D466AE"/>
    <w:rsid w:val="00D4734F"/>
    <w:rsid w:val="00D51BF3"/>
    <w:rsid w:val="00D553BE"/>
    <w:rsid w:val="00D6632A"/>
    <w:rsid w:val="00D66846"/>
    <w:rsid w:val="00D675FB"/>
    <w:rsid w:val="00D71F25"/>
    <w:rsid w:val="00D72A9C"/>
    <w:rsid w:val="00D77031"/>
    <w:rsid w:val="00D84941"/>
    <w:rsid w:val="00D84FA1"/>
    <w:rsid w:val="00D851F0"/>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64F8"/>
    <w:rsid w:val="00DA6C15"/>
    <w:rsid w:val="00DA7A14"/>
    <w:rsid w:val="00DB0258"/>
    <w:rsid w:val="00DB139B"/>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E81"/>
    <w:rsid w:val="00DE703F"/>
    <w:rsid w:val="00DE7595"/>
    <w:rsid w:val="00DF1961"/>
    <w:rsid w:val="00DF44DE"/>
    <w:rsid w:val="00E01138"/>
    <w:rsid w:val="00E02DFB"/>
    <w:rsid w:val="00E030F9"/>
    <w:rsid w:val="00E0311A"/>
    <w:rsid w:val="00E03138"/>
    <w:rsid w:val="00E06404"/>
    <w:rsid w:val="00E11A85"/>
    <w:rsid w:val="00E12495"/>
    <w:rsid w:val="00E13F0C"/>
    <w:rsid w:val="00E15CCD"/>
    <w:rsid w:val="00E202EF"/>
    <w:rsid w:val="00E210B5"/>
    <w:rsid w:val="00E2501C"/>
    <w:rsid w:val="00E2552F"/>
    <w:rsid w:val="00E30742"/>
    <w:rsid w:val="00E3137A"/>
    <w:rsid w:val="00E32CCF"/>
    <w:rsid w:val="00E34A98"/>
    <w:rsid w:val="00E35D1E"/>
    <w:rsid w:val="00E364F9"/>
    <w:rsid w:val="00E365FA"/>
    <w:rsid w:val="00E36789"/>
    <w:rsid w:val="00E37AE5"/>
    <w:rsid w:val="00E401EB"/>
    <w:rsid w:val="00E44A83"/>
    <w:rsid w:val="00E502C1"/>
    <w:rsid w:val="00E502DD"/>
    <w:rsid w:val="00E50D3A"/>
    <w:rsid w:val="00E51387"/>
    <w:rsid w:val="00E51E68"/>
    <w:rsid w:val="00E52EFD"/>
    <w:rsid w:val="00E5408A"/>
    <w:rsid w:val="00E56800"/>
    <w:rsid w:val="00E60C63"/>
    <w:rsid w:val="00E62FF9"/>
    <w:rsid w:val="00E632CA"/>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13D"/>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93B"/>
    <w:rsid w:val="00EE0350"/>
    <w:rsid w:val="00EE0719"/>
    <w:rsid w:val="00EE0E80"/>
    <w:rsid w:val="00EE613F"/>
    <w:rsid w:val="00EE7295"/>
    <w:rsid w:val="00EE7869"/>
    <w:rsid w:val="00EF054A"/>
    <w:rsid w:val="00EF3235"/>
    <w:rsid w:val="00EF7E72"/>
    <w:rsid w:val="00F002CE"/>
    <w:rsid w:val="00F06D37"/>
    <w:rsid w:val="00F07B9D"/>
    <w:rsid w:val="00F11586"/>
    <w:rsid w:val="00F1183B"/>
    <w:rsid w:val="00F11C9F"/>
    <w:rsid w:val="00F12263"/>
    <w:rsid w:val="00F1409D"/>
    <w:rsid w:val="00F14214"/>
    <w:rsid w:val="00F157A9"/>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571E4"/>
    <w:rsid w:val="00F6194E"/>
    <w:rsid w:val="00F623AC"/>
    <w:rsid w:val="00F6412A"/>
    <w:rsid w:val="00F65893"/>
    <w:rsid w:val="00F66A4A"/>
    <w:rsid w:val="00F71E22"/>
    <w:rsid w:val="00F72142"/>
    <w:rsid w:val="00F72AE7"/>
    <w:rsid w:val="00F80FD0"/>
    <w:rsid w:val="00F8320B"/>
    <w:rsid w:val="00F833BA"/>
    <w:rsid w:val="00F84FD0"/>
    <w:rsid w:val="00F859A8"/>
    <w:rsid w:val="00F864CB"/>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17B7"/>
    <w:rsid w:val="00FC2CB7"/>
    <w:rsid w:val="00FC4090"/>
    <w:rsid w:val="00FC55B4"/>
    <w:rsid w:val="00FD00E6"/>
    <w:rsid w:val="00FD09A1"/>
    <w:rsid w:val="00FD2A7C"/>
    <w:rsid w:val="00FD59EB"/>
    <w:rsid w:val="00FD7299"/>
    <w:rsid w:val="00FE0708"/>
    <w:rsid w:val="00FE1FBE"/>
    <w:rsid w:val="00FE3901"/>
    <w:rsid w:val="00FE39D3"/>
    <w:rsid w:val="00FE4BCE"/>
    <w:rsid w:val="00FE54AE"/>
    <w:rsid w:val="00FE576A"/>
    <w:rsid w:val="00FE6537"/>
    <w:rsid w:val="00FE7E79"/>
    <w:rsid w:val="00FF3E7D"/>
    <w:rsid w:val="00FF5B99"/>
    <w:rsid w:val="00FF730C"/>
    <w:rsid w:val="00FF73F4"/>
    <w:rsid w:val="00FF7CE4"/>
    <w:rsid w:val="00FF7E39"/>
    <w:rsid w:val="03296E79"/>
    <w:rsid w:val="0A0012D1"/>
    <w:rsid w:val="1BBFF3BF"/>
    <w:rsid w:val="4CDF1817"/>
    <w:rsid w:val="55DFB5FD"/>
    <w:rsid w:val="6FB4EA7D"/>
    <w:rsid w:val="6FFF7DC6"/>
    <w:rsid w:val="78EC7D22"/>
    <w:rsid w:val="7CFB5254"/>
    <w:rsid w:val="7E9F1E57"/>
    <w:rsid w:val="B7AF6D19"/>
    <w:rsid w:val="BE77DFE6"/>
    <w:rsid w:val="BFD3523B"/>
    <w:rsid w:val="D9F769E4"/>
    <w:rsid w:val="DEC85356"/>
    <w:rsid w:val="DFDE98A5"/>
    <w:rsid w:val="F90FAF02"/>
    <w:rsid w:val="FBDC5E7C"/>
    <w:rsid w:val="FCAEB9A2"/>
    <w:rsid w:val="FDE76A9A"/>
    <w:rsid w:val="FEEF2CB3"/>
    <w:rsid w:val="FEFD48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7BFBBA140C74BE186891DE760711F5D"/>
        <w:style w:val=""/>
        <w:category>
          <w:name w:val="常规"/>
          <w:gallery w:val="placeholder"/>
        </w:category>
        <w:types>
          <w:type w:val="bbPlcHdr"/>
        </w:types>
        <w:behaviors>
          <w:behavior w:val="content"/>
        </w:behaviors>
        <w:description w:val=""/>
        <w:guid w:val="{44EC5602-11F2-4934-BBDA-747DB4BD3D77}"/>
      </w:docPartPr>
      <w:docPartBody>
        <w:p w14:paraId="0EECCA0E">
          <w:pPr>
            <w:pStyle w:val="5"/>
            <w:rPr>
              <w:rFonts w:hint="eastAsia"/>
            </w:rPr>
          </w:pPr>
          <w:r>
            <w:rPr>
              <w:rStyle w:val="4"/>
              <w:rFonts w:hint="eastAsia"/>
            </w:rPr>
            <w:t>单击或点击此处输入文字。</w:t>
          </w:r>
        </w:p>
      </w:docPartBody>
    </w:docPart>
    <w:docPart>
      <w:docPartPr>
        <w:name w:val="57E6AB75487F4C8881E9B0B9663B811B"/>
        <w:style w:val=""/>
        <w:category>
          <w:name w:val="常规"/>
          <w:gallery w:val="placeholder"/>
        </w:category>
        <w:types>
          <w:type w:val="bbPlcHdr"/>
        </w:types>
        <w:behaviors>
          <w:behavior w:val="content"/>
        </w:behaviors>
        <w:description w:val=""/>
        <w:guid w:val="{A1626C25-AAAF-48E1-A354-69A2445EECB8}"/>
      </w:docPartPr>
      <w:docPartBody>
        <w:p w14:paraId="66DE13A7">
          <w:pPr>
            <w:pStyle w:val="6"/>
            <w:rPr>
              <w:rFonts w:hint="eastAsia"/>
            </w:rPr>
          </w:pPr>
          <w:r>
            <w:rPr>
              <w:rStyle w:val="4"/>
              <w:rFonts w:hint="eastAsia"/>
            </w:rPr>
            <w:t>选择一项。</w:t>
          </w:r>
        </w:p>
      </w:docPartBody>
    </w:docPart>
    <w:docPart>
      <w:docPartPr>
        <w:name w:val="E0B4F4666BA7434382DB9D3AF00082ED"/>
        <w:style w:val=""/>
        <w:category>
          <w:name w:val="常规"/>
          <w:gallery w:val="placeholder"/>
        </w:category>
        <w:types>
          <w:type w:val="bbPlcHdr"/>
        </w:types>
        <w:behaviors>
          <w:behavior w:val="content"/>
        </w:behaviors>
        <w:description w:val=""/>
        <w:guid w:val="{2CB781A4-B6D1-410B-AC78-0717BB2465AA}"/>
      </w:docPartPr>
      <w:docPartBody>
        <w:p w14:paraId="705EAB7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0A"/>
    <w:rsid w:val="00140B39"/>
    <w:rsid w:val="001F1685"/>
    <w:rsid w:val="00303D29"/>
    <w:rsid w:val="003E7373"/>
    <w:rsid w:val="006223A9"/>
    <w:rsid w:val="00746029"/>
    <w:rsid w:val="00920500"/>
    <w:rsid w:val="009B0F63"/>
    <w:rsid w:val="009B2365"/>
    <w:rsid w:val="00A361F0"/>
    <w:rsid w:val="00AB1737"/>
    <w:rsid w:val="00AD4D0A"/>
    <w:rsid w:val="00B97EBA"/>
    <w:rsid w:val="00BE7943"/>
    <w:rsid w:val="00E93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7BFBBA140C74BE186891DE760711F5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7E6AB75487F4C8881E9B0B9663B811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E0B4F4666BA7434382DB9D3AF00082E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Windows 10</Company>
  <Pages>6</Pages>
  <Words>2629</Words>
  <Characters>2731</Characters>
  <Lines>22</Lines>
  <Paragraphs>6</Paragraphs>
  <TotalTime>11</TotalTime>
  <ScaleCrop>false</ScaleCrop>
  <LinksUpToDate>false</LinksUpToDate>
  <CharactersWithSpaces>2750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2025-06-12T17:53:00Z</dcterms:created>
  <dc:creator>Windows 10</dc:creator>
  <cp:lastModifiedBy>HORSE</cp:lastModifiedBy>
  <cp:lastPrinted>2025-06-16T16:59:00Z</cp:lastPrinted>
  <dcterms:modified xsi:type="dcterms:W3CDTF">2025-06-26T07:32:53Z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KSOTemplateDocerSaveRecord">
    <vt:lpwstr>eyJoZGlkIjoiYWZmZTdmOGNjNjg3ZjAyZDU5ZTEyMmZmMDgyYTY5OWQiLCJ1c2VySWQiOiI5NjExMjc1MzEifQ==</vt:lpwstr>
  </property>
  <property fmtid="{D5CDD505-2E9C-101B-9397-08002B2CF9AE}" pid="16" name="ICV">
    <vt:lpwstr>DB742ACF45994AD6B80989FF1CF4D8FB_12</vt:lpwstr>
  </property>
</Properties>
</file>